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2B8756AA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8612C9">
        <w:rPr>
          <w:rFonts w:ascii="ArialMT" w:hAnsi="ArialMT" w:cs="ArialMT"/>
          <w:color w:val="231F20"/>
          <w:sz w:val="20"/>
          <w:szCs w:val="20"/>
        </w:rPr>
        <w:t>MS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U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3D390C86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073E3F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55E35E79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B01166">
        <w:rPr>
          <w:rFonts w:ascii="ArialMT" w:hAnsi="ArialMT" w:cs="ArialMT"/>
          <w:color w:val="231F20"/>
          <w:sz w:val="20"/>
          <w:szCs w:val="20"/>
        </w:rPr>
        <w:t>Montclair State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25387858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01166">
        <w:rPr>
          <w:rFonts w:ascii="ArialMT" w:hAnsi="ArialMT" w:cs="ArialMT"/>
          <w:color w:val="231F20"/>
          <w:sz w:val="20"/>
          <w:szCs w:val="20"/>
        </w:rPr>
        <w:t>Montclair State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63BB07BE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5F6355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6F4EA2BA" w:rsidR="00484FEC" w:rsidRDefault="0083215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184625E9" wp14:editId="36C59A4E">
            <wp:simplePos x="0" y="0"/>
            <wp:positionH relativeFrom="column">
              <wp:align>left</wp:align>
            </wp:positionH>
            <wp:positionV relativeFrom="paragraph">
              <wp:posOffset>137795</wp:posOffset>
            </wp:positionV>
            <wp:extent cx="2647950" cy="1727200"/>
            <wp:effectExtent l="0" t="0" r="0" b="635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5" w14:textId="6B7E8203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6093D212" w:rsidR="00B46343" w:rsidRDefault="00B01166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MONTCLAIR STATE</w:t>
      </w:r>
      <w:r w:rsidR="00B46343"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 UNIVERSITY </w:t>
      </w:r>
    </w:p>
    <w:p w14:paraId="33F3B5F8" w14:textId="13B5172D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F652FA">
        <w:rPr>
          <w:rFonts w:ascii="Arial-BoldMT" w:hAnsi="Arial-BoldMT" w:cs="Arial-BoldMT"/>
          <w:b/>
          <w:bCs/>
          <w:color w:val="231F20"/>
          <w:sz w:val="32"/>
          <w:szCs w:val="32"/>
        </w:rPr>
        <w:t>3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F652FA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8DD2C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F69F1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0A1EA803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232BA4">
        <w:rPr>
          <w:rFonts w:ascii="ArialMT" w:hAnsi="ArialMT" w:cs="ArialMT"/>
          <w:color w:val="231F20"/>
          <w:sz w:val="22"/>
          <w:szCs w:val="22"/>
        </w:rPr>
        <w:t>Montclair State</w:t>
      </w:r>
      <w:r w:rsidR="00FD27ED">
        <w:rPr>
          <w:rFonts w:ascii="ArialMT" w:hAnsi="ArialMT" w:cs="ArialMT"/>
          <w:color w:val="231F20"/>
          <w:sz w:val="22"/>
          <w:szCs w:val="22"/>
        </w:rPr>
        <w:t xml:space="preserve">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721B9A5A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047E4D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2CAE57" w:rsidR="00291078" w:rsidRPr="001A6D96" w:rsidRDefault="007B5E3A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>The sports medicine staff will submit the claim form directly to NAHGA.  It is the student-athletes responsibility to submit all other information directly to NAHGA</w:t>
      </w:r>
      <w:r w:rsidR="00BB6C3B">
        <w:rPr>
          <w:rFonts w:ascii="ArialMT" w:hAnsi="ArialMT" w:cs="ArialMT"/>
          <w:color w:val="231F20"/>
          <w:sz w:val="22"/>
          <w:szCs w:val="22"/>
        </w:rPr>
        <w:t xml:space="preserve"> or the sports medicine staff.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707F5158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 xml:space="preserve">and forward to </w:t>
      </w:r>
      <w:r w:rsidR="00AB59D7">
        <w:rPr>
          <w:rFonts w:ascii="ArialMT" w:hAnsi="ArialMT" w:cs="ArialMT"/>
          <w:color w:val="231F20"/>
          <w:sz w:val="22"/>
          <w:szCs w:val="22"/>
        </w:rPr>
        <w:t xml:space="preserve">NAHGA or the </w:t>
      </w:r>
      <w:r w:rsidR="00972657">
        <w:rPr>
          <w:rFonts w:ascii="ArialMT" w:hAnsi="ArialMT" w:cs="ArialMT"/>
          <w:color w:val="231F20"/>
          <w:sz w:val="22"/>
          <w:szCs w:val="22"/>
        </w:rPr>
        <w:t>s</w:t>
      </w:r>
      <w:r w:rsidR="00B1788D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972657">
        <w:rPr>
          <w:rFonts w:ascii="ArialMT" w:hAnsi="ArialMT" w:cs="ArialMT"/>
          <w:color w:val="231F20"/>
          <w:sz w:val="22"/>
          <w:szCs w:val="22"/>
        </w:rPr>
        <w:t>m</w:t>
      </w:r>
      <w:r w:rsidR="00B1788D">
        <w:rPr>
          <w:rFonts w:ascii="ArialMT" w:hAnsi="ArialMT" w:cs="ArialMT"/>
          <w:color w:val="231F20"/>
          <w:sz w:val="22"/>
          <w:szCs w:val="22"/>
        </w:rPr>
        <w:t xml:space="preserve">edicine </w:t>
      </w:r>
      <w:r w:rsidR="00972657">
        <w:rPr>
          <w:rFonts w:ascii="ArialMT" w:hAnsi="ArialMT" w:cs="ArialMT"/>
          <w:color w:val="231F20"/>
          <w:sz w:val="22"/>
          <w:szCs w:val="22"/>
        </w:rPr>
        <w:t>s</w:t>
      </w:r>
      <w:r w:rsidR="00B1788D">
        <w:rPr>
          <w:rFonts w:ascii="ArialMT" w:hAnsi="ArialMT" w:cs="ArialMT"/>
          <w:color w:val="231F20"/>
          <w:sz w:val="22"/>
          <w:szCs w:val="22"/>
        </w:rPr>
        <w:t>taff</w:t>
      </w:r>
      <w:r w:rsidR="00972657">
        <w:rPr>
          <w:rFonts w:ascii="ArialMT" w:hAnsi="ArialMT" w:cs="ArialMT"/>
          <w:color w:val="231F20"/>
          <w:sz w:val="22"/>
          <w:szCs w:val="22"/>
        </w:rPr>
        <w:t>.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6F290450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1397608F" w14:textId="31600C37" w:rsidR="00BB6C3B" w:rsidRDefault="00BB6C3B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4CC171A5" w14:textId="3431B4B6" w:rsidR="00BB6C3B" w:rsidRDefault="00BB6C3B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71EE87ED" w14:textId="77777777" w:rsidR="00BB6C3B" w:rsidRDefault="00BB6C3B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7BDD2739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49490D">
        <w:rPr>
          <w:rFonts w:ascii="Arial" w:hAnsi="Arial" w:cs="Arial"/>
          <w:bCs/>
          <w:sz w:val="20"/>
          <w:szCs w:val="20"/>
        </w:rPr>
        <w:t>3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7F9EAB2A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842524">
        <w:rPr>
          <w:rFonts w:ascii="Arial" w:hAnsi="Arial" w:cs="Arial"/>
          <w:bCs/>
          <w:sz w:val="20"/>
          <w:szCs w:val="20"/>
        </w:rPr>
        <w:t xml:space="preserve"> </w:t>
      </w:r>
      <w:r w:rsidR="00842524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40" w14:textId="2BFCACCE" w:rsidR="00490F99" w:rsidRPr="001A0B54" w:rsidRDefault="005A436E" w:rsidP="001A0B5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proofErr w:type="gramStart"/>
      <w:r w:rsidRPr="00490F99">
        <w:rPr>
          <w:rFonts w:ascii="ArialMT" w:hAnsi="ArialMT" w:cs="ArialMT"/>
          <w:color w:val="231F20"/>
          <w:sz w:val="22"/>
          <w:szCs w:val="22"/>
        </w:rPr>
        <w:t>illness, unless</w:t>
      </w:r>
      <w:proofErr w:type="gramEnd"/>
      <w:r w:rsidRPr="00490F99">
        <w:rPr>
          <w:rFonts w:ascii="ArialMT" w:hAnsi="ArialMT" w:cs="ArialMT"/>
          <w:color w:val="231F20"/>
          <w:sz w:val="22"/>
          <w:szCs w:val="22"/>
        </w:rPr>
        <w:t xml:space="preserve">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59CD93F5" w:rsidR="008D2896" w:rsidRPr="005C022E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4DC89345" w14:textId="77777777" w:rsidR="005C022E" w:rsidRDefault="005C022E" w:rsidP="005C022E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14:paraId="3EB20076" w14:textId="6CADE642" w:rsidR="005C022E" w:rsidRDefault="005C022E" w:rsidP="005C022E">
      <w:pPr>
        <w:spacing w:after="200" w:line="276" w:lineRule="auto"/>
        <w:ind w:left="360"/>
        <w:jc w:val="both"/>
        <w:rPr>
          <w:rFonts w:ascii="Arial" w:hAnsi="Arial" w:cs="Arial"/>
          <w:sz w:val="16"/>
          <w:szCs w:val="16"/>
          <w:u w:val="single"/>
        </w:rPr>
      </w:pPr>
    </w:p>
    <w:p w14:paraId="66676D4E" w14:textId="77777777" w:rsidR="005C022E" w:rsidRPr="008D2896" w:rsidRDefault="005C022E" w:rsidP="005C022E">
      <w:pPr>
        <w:spacing w:after="200" w:line="276" w:lineRule="auto"/>
        <w:ind w:left="360"/>
        <w:jc w:val="both"/>
        <w:rPr>
          <w:rFonts w:ascii="Arial" w:hAnsi="Arial" w:cs="Arial"/>
          <w:sz w:val="16"/>
          <w:szCs w:val="16"/>
          <w:u w:val="single"/>
        </w:rPr>
      </w:pP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3EFF77C6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</w:t>
      </w:r>
      <w:r w:rsidR="00663769">
        <w:rPr>
          <w:rFonts w:ascii="ArialMT" w:hAnsi="ArialMT" w:cs="Arial-BoldMT"/>
          <w:sz w:val="22"/>
          <w:szCs w:val="22"/>
        </w:rPr>
        <w:t>file all claim forms with NAHGA</w:t>
      </w:r>
      <w:r w:rsidR="00C577FB" w:rsidRPr="000C0484">
        <w:rPr>
          <w:rFonts w:ascii="ArialMT" w:hAnsi="ArialMT" w:cs="Arial-BoldMT"/>
          <w:sz w:val="22"/>
          <w:szCs w:val="22"/>
        </w:rPr>
        <w:t xml:space="preserve">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AE3E4B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</w:t>
      </w:r>
      <w:r w:rsidR="00A365B5">
        <w:rPr>
          <w:rFonts w:ascii="ArialMT" w:hAnsi="ArialMT" w:cs="Arial-BoldMT"/>
          <w:sz w:val="22"/>
          <w:szCs w:val="22"/>
        </w:rPr>
        <w:t xml:space="preserve">that </w:t>
      </w:r>
      <w:r w:rsidR="00E174A7">
        <w:rPr>
          <w:rFonts w:ascii="ArialMT" w:hAnsi="ArialMT" w:cs="Arial-BoldMT"/>
          <w:sz w:val="22"/>
          <w:szCs w:val="22"/>
        </w:rPr>
        <w:t>are a</w:t>
      </w:r>
      <w:r w:rsidR="00FC29CF" w:rsidRPr="000C0484">
        <w:rPr>
          <w:rFonts w:ascii="ArialMT" w:hAnsi="ArialMT" w:cs="Arial-BoldMT"/>
          <w:sz w:val="22"/>
          <w:szCs w:val="22"/>
        </w:rPr>
        <w:t xml:space="preserve">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53DCF2F4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0C5D87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205588">
    <w:abstractNumId w:val="4"/>
  </w:num>
  <w:num w:numId="2" w16cid:durableId="294526795">
    <w:abstractNumId w:val="2"/>
  </w:num>
  <w:num w:numId="3" w16cid:durableId="2022469597">
    <w:abstractNumId w:val="0"/>
  </w:num>
  <w:num w:numId="4" w16cid:durableId="1928345452">
    <w:abstractNumId w:val="3"/>
  </w:num>
  <w:num w:numId="5" w16cid:durableId="144261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4359A"/>
    <w:rsid w:val="00047E4D"/>
    <w:rsid w:val="00053882"/>
    <w:rsid w:val="00071DA6"/>
    <w:rsid w:val="00073E3F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5D87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66A77"/>
    <w:rsid w:val="0017167D"/>
    <w:rsid w:val="001831EE"/>
    <w:rsid w:val="001911DE"/>
    <w:rsid w:val="00195114"/>
    <w:rsid w:val="00195603"/>
    <w:rsid w:val="001956B7"/>
    <w:rsid w:val="001A0B54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2BA4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9490D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C022E"/>
    <w:rsid w:val="005D41D2"/>
    <w:rsid w:val="005D49B3"/>
    <w:rsid w:val="005E25EB"/>
    <w:rsid w:val="005E2ABB"/>
    <w:rsid w:val="005E4946"/>
    <w:rsid w:val="005F34A2"/>
    <w:rsid w:val="005F4E8C"/>
    <w:rsid w:val="005F511C"/>
    <w:rsid w:val="005F6355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63769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E30E5"/>
    <w:rsid w:val="006F1D79"/>
    <w:rsid w:val="006F27F8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5E3A"/>
    <w:rsid w:val="007B6781"/>
    <w:rsid w:val="007C1A35"/>
    <w:rsid w:val="007C30D7"/>
    <w:rsid w:val="007C3935"/>
    <w:rsid w:val="007E2691"/>
    <w:rsid w:val="007E628C"/>
    <w:rsid w:val="007F3E99"/>
    <w:rsid w:val="007F795E"/>
    <w:rsid w:val="008039A9"/>
    <w:rsid w:val="00804E13"/>
    <w:rsid w:val="0083215C"/>
    <w:rsid w:val="00836B5E"/>
    <w:rsid w:val="0083741D"/>
    <w:rsid w:val="00842524"/>
    <w:rsid w:val="00843763"/>
    <w:rsid w:val="00847154"/>
    <w:rsid w:val="00852FBE"/>
    <w:rsid w:val="0085421D"/>
    <w:rsid w:val="00856431"/>
    <w:rsid w:val="008612C9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72657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30D6E"/>
    <w:rsid w:val="00A3373E"/>
    <w:rsid w:val="00A365B5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1DA3"/>
    <w:rsid w:val="00AB1A08"/>
    <w:rsid w:val="00AB2267"/>
    <w:rsid w:val="00AB59D7"/>
    <w:rsid w:val="00AB680D"/>
    <w:rsid w:val="00AC099F"/>
    <w:rsid w:val="00AC1C96"/>
    <w:rsid w:val="00AC4083"/>
    <w:rsid w:val="00AC5161"/>
    <w:rsid w:val="00AC6DB2"/>
    <w:rsid w:val="00AE2F0C"/>
    <w:rsid w:val="00AE3E4B"/>
    <w:rsid w:val="00B0025E"/>
    <w:rsid w:val="00B01166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24BB"/>
    <w:rsid w:val="00B7711D"/>
    <w:rsid w:val="00B77E0B"/>
    <w:rsid w:val="00B90321"/>
    <w:rsid w:val="00B96B87"/>
    <w:rsid w:val="00BB395B"/>
    <w:rsid w:val="00BB6C3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174A7"/>
    <w:rsid w:val="00E326FF"/>
    <w:rsid w:val="00E6643F"/>
    <w:rsid w:val="00E70A80"/>
    <w:rsid w:val="00E71471"/>
    <w:rsid w:val="00E96778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652FA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7" ma:contentTypeDescription="Create a new document." ma:contentTypeScope="" ma:versionID="fafd619b629019684bc293b705657293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550400641d78e54cf40cb6b709cefd57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9A936-57CA-4116-B3A4-0A25CFA3D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24</cp:revision>
  <cp:lastPrinted>2010-09-22T19:28:00Z</cp:lastPrinted>
  <dcterms:created xsi:type="dcterms:W3CDTF">2021-07-25T18:14:00Z</dcterms:created>
  <dcterms:modified xsi:type="dcterms:W3CDTF">2023-08-18T14:52:00Z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